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500"/>
        <w:jc w:val="center"/>
      </w:pPr>
      <w:r>
        <w:rPr>
          <w:b/>
          <w:bCs/>
          <w:color w:val="1F3864"/>
          <w:sz w:val="40"/>
          <w:szCs w:val="40"/>
        </w:rPr>
        <w:t xml:space="preserve">THE STR ACQUISITION</w:t>
      </w:r>
    </w:p>
    <w:p>
      <w:pPr>
        <w:spacing w:after="320" w:before="0"/>
        <w:jc w:val="center"/>
      </w:pPr>
      <w:r>
        <w:rPr>
          <w:b/>
          <w:bCs/>
          <w:color w:val="2E75B6"/>
          <w:sz w:val="40"/>
          <w:szCs w:val="40"/>
        </w:rPr>
        <w:t xml:space="preserve">ADVISORY GUIDE</w:t>
      </w:r>
    </w:p>
    <w:p>
      <w:pPr>
        <w:spacing w:after="200"/>
        <w:jc w:val="center"/>
      </w:pPr>
      <w:r>
        <w:rPr>
          <w:i/>
          <w:iCs/>
          <w:color w:val="595959"/>
          <w:sz w:val="24"/>
          <w:szCs w:val="24"/>
        </w:rPr>
        <w:t xml:space="preserve">Market Analysis, Cash Flow Underwriting &amp; Long-Term Planning — Done For You</w:t>
      </w:r>
    </w:p>
    <w:p>
      <w:pPr>
        <w:spacing w:before="700"/>
        <w:jc w:val="center"/>
      </w:pPr>
      <w:r>
        <w:rPr>
          <w:color w:val="595959"/>
          <w:sz w:val="22"/>
          <w:szCs w:val="22"/>
        </w:rPr>
        <w:t xml:space="preserve">Your Company Name</w:t>
      </w:r>
    </w:p>
    <w:p>
      <w:pPr>
        <w:jc w:val="center"/>
      </w:pPr>
      <w:r>
        <w:rPr>
          <w:color w:val="595959"/>
          <w:sz w:val="18"/>
          <w:szCs w:val="18"/>
        </w:rPr>
        <w:t xml:space="preserve">Agent Referral · Mortgage · Permits · Furnishing · Listing — All Done For You</w:t>
      </w:r>
    </w:p>
    <w:p>
      <w:r>
        <w:br w:type="page"/>
      </w:r>
    </w:p>
    <w:p>
      <w:pPr>
        <w:pStyle w:val="Heading1"/>
      </w:pPr>
      <w:r>
        <w:t xml:space="preserve">Buy the Numbers, Not the Listing Photos</w:t>
      </w:r>
    </w:p>
    <w:p>
      <w:pPr>
        <w:spacing w:after="160"/>
      </w:pPr>
      <w:r>
        <w:t xml:space="preserve">The properties that look best in photos are rarely the ones that perform best as short-term rentals. A disciplined buyer evaluates a market and a property the same way an underwriter does — before falling in love with the kitchen island. This guide walks through how we evaluate a market, underwrite cash flow, review inspection findings, and build a long-term hold plan before you ever sign a purchase contract.</w:t>
      </w:r>
    </w:p>
    <w:p>
      <w:pPr>
        <w:pBdr>
          <w:left w:val="single" w:color="2E75B6" w:sz="28" w:space="8"/>
        </w:pBdr>
        <w:shd w:fill="EAF1F8" w:val="clear"/>
        <w:spacing w:after="220" w:before="140"/>
      </w:pPr>
      <w:r>
        <w:rPr>
          <w:b/>
          <w:bCs/>
          <w:color w:val="1F3864"/>
        </w:rPr>
        <w:t xml:space="preserve">Bottom line:  </w:t>
      </w:r>
      <w:r>
        <w:t xml:space="preserve">The single biggest driver of long-run STR returns isn't the property — it's whether the market and the numbers were right on day one. Good operations can improve a mediocre deal by a little. They can't fix a bad one.</w:t>
      </w:r>
    </w:p>
    <w:p>
      <w:pPr>
        <w:pStyle w:val="Heading1"/>
      </w:pPr>
      <w:r>
        <w:t xml:space="preserve">The Acquisition Process</w:t>
      </w:r>
    </w:p>
    <w:p>
      <w:pPr>
        <w:spacing w:after="160"/>
      </w:pPr>
      <w:r>
        <w:t xml:space="preserve">Five stages, run in order, before and through closing.</w:t>
      </w:r>
    </w:p>
    <w:p>
      <w:pPr>
        <w:spacing w:after="240" w:before="120"/>
        <w:jc w:val="center"/>
      </w:pPr>
      <w:r>
        <w:drawing>
          <wp:inline distT="0" distB="0" distL="0" distR="0">
            <wp:extent cx="5334000" cy="1219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 xml:space="preserve">1. Market Analysis: Where to Buy</w:t>
      </w:r>
    </w:p>
    <w:p>
      <w:pPr>
        <w:spacing w:after="160"/>
      </w:pPr>
      <w:r>
        <w:t xml:space="preserve">Not every STR-friendly city is a good investment market, and not every good investment market is STR-friendly. We screen on both dimensions before recommending any specific property.</w:t>
      </w:r>
    </w:p>
    <w:p>
      <w:pPr>
        <w:spacing w:after="240" w:before="120"/>
        <w:jc w:val="center"/>
      </w:pPr>
      <w:r>
        <w:drawing>
          <wp:inline distT="0" distB="0" distL="0" distR="0">
            <wp:extent cx="4953000" cy="24669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Regulatory stability: a market with a 10% cap rate but an uncertain or worsening permit environment is a worse bet than a market with a 7% cap rate and stable, predictable rules.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Demand seasonality: a market with one dominant season (ski, summer lake) carries more revenue risk than one with multiple demand drivers (events, business travel, year-round climate).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Supply growth: rapid new-listing growth compresses ADR and occupancy even in a market with strong underlying demand — check permit issuance trends, not just current performance.</w:t>
      </w:r>
    </w:p>
    <w:p>
      <w:pPr>
        <w:pStyle w:val="Heading1"/>
      </w:pPr>
      <w:r>
        <w:t xml:space="preserve">2. Cash Flow Underwriting: Will This Property Perform?</w:t>
      </w:r>
    </w:p>
    <w:p>
      <w:pPr>
        <w:spacing w:after="160"/>
      </w:pPr>
      <w:r>
        <w:t xml:space="preserve">Every property we evaluate gets the same underwriting build, from gross revenue down to net cash flow after debt service.</w:t>
      </w:r>
    </w:p>
    <w:p>
      <w:pPr>
        <w:spacing w:after="240" w:before="120"/>
        <w:jc w:val="center"/>
      </w:pPr>
      <w:r>
        <w:drawing>
          <wp:inline distT="0" distB="0" distL="0" distR="0">
            <wp:extent cx="4953000" cy="2486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Gross revenue: built from comparable STR data (AirDNA/PriceLabs), not the listing agent's optimistic estimate.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Operating expenses: typically 35–45% of gross revenue for a professionally managed STR — cleaning, supplies, utilities, management fee, insurance, maintenance reserve, and platform fees.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Debt service: sized to your actual financing terms (see our companion Mortgage Playbook), not a generic assumption.</w:t>
      </w:r>
    </w:p>
    <w:p>
      <w:pPr>
        <w:pBdr>
          <w:left w:val="single" w:color="2E75B6" w:sz="28" w:space="8"/>
        </w:pBdr>
        <w:shd w:fill="EAF1F8" w:val="clear"/>
        <w:spacing w:after="220" w:before="140"/>
      </w:pPr>
      <w:r>
        <w:rPr>
          <w:b/>
          <w:bCs/>
          <w:color w:val="1F3864"/>
        </w:rPr>
        <w:t xml:space="preserve">Key metrics we calculate:  </w:t>
      </w:r>
      <w:r>
        <w:t xml:space="preserve">Cash-on-cash return (annual cash flow ÷ cash invested), cap rate (NOI ÷ purchase price), and DSCR (NOI ÷ debt service) — the same three numbers a lender and a disciplined investor both look at first.</w:t>
      </w:r>
    </w:p>
    <w:p>
      <w:r>
        <w:br w:type="page"/>
      </w:r>
    </w:p>
    <w:p>
      <w:pPr>
        <w:pStyle w:val="Heading1"/>
      </w:pPr>
      <w:r>
        <w:t xml:space="preserve">3. The Metrics That Actually Matter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780"/>
        <w:gridCol w:w="3780"/>
      </w:tblGrid>
      <w:tr>
        <w:trPr>
          <w:cantSplit/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Metric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How It's Calculated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Why It Matters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Cash-on-cash return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Annual pre-tax cash flow ÷ total cash invested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Tells you the actual yield on the money you put in — the number most relevant to you as a buyer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Cap rate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Net operating income ÷ purchase price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Compares deals independent of financing — useful for comparing markets or properties apples-to-apples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DSCR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Net operating income ÷ annual debt service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What your lender uses to qualify the loan — also a useful margin-of-safety check for you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RevPAR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Revenue ÷ available nights (ADR × occupancy)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The cleanest single number for comparing STR comps in a market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Break-even occupancy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Fixed costs ÷ (ADR − variable cost per booked night)</w:t>
            </w:r>
          </w:p>
        </w:tc>
        <w:tc>
          <w:tcPr>
            <w:tcW w:type="dxa" w:w="37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8"/>
                <w:szCs w:val="18"/>
              </w:rPr>
              <w:t xml:space="preserve">Shows how much cushion you have before the property loses money in a slow season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Inspection Review: What We Look For</w:t>
      </w:r>
    </w:p>
    <w:p>
      <w:pPr>
        <w:spacing w:after="160"/>
      </w:pPr>
      <w:r>
        <w:t xml:space="preserve">An STR sees far more wear than a typical owner-occupied home — frequent turnovers, more guests per year, and less day-to-day oversight. We review every inspection report with that lens, not a standard residential one.</w:t>
      </w:r>
    </w:p>
    <w:p>
      <w:pPr>
        <w:spacing w:after="240" w:before="120"/>
        <w:jc w:val="center"/>
      </w:pPr>
      <w:r>
        <w:drawing>
          <wp:inline distT="0" distB="0" distL="0" distR="0">
            <wp:extent cx="5143500" cy="2600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Roof &amp; exterior: STR turnover schedules leave little room for a mid-season repair — we flag anything with under 5 years of remaining life.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HVAC: undersized systems struggle with back-to-back same-day turnovers in peak season — we check capacity against the property's bedroom/occupancy count.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Electrical &amp; plumbing: smart locks, mesh WiFi, and EV chargers all add panel load — we check for capacity to support a full STR tech stack.</w:t>
      </w:r>
    </w:p>
    <w:p>
      <w:pPr>
        <w:pBdr>
          <w:left w:val="single" w:color="2E75B6" w:sz="28" w:space="8"/>
        </w:pBdr>
        <w:shd w:fill="EAF1F8" w:val="clear"/>
        <w:spacing w:after="220" w:before="140"/>
      </w:pPr>
      <w:r>
        <w:rPr>
          <w:b/>
          <w:bCs/>
          <w:color w:val="1F3864"/>
        </w:rPr>
        <w:t xml:space="preserve">How we help:  </w:t>
      </w:r>
      <w:r>
        <w:t xml:space="preserve">We review the inspection report alongside you, translate technical findings into renovation-cost and timeline impact, and help you decide what to negotiate, repair before launch, or walk away from.</w:t>
      </w:r>
    </w:p>
    <w:p>
      <w:pPr>
        <w:pStyle w:val="Heading1"/>
      </w:pPr>
      <w:r>
        <w:t xml:space="preserve">5. Long-Term Plan: Know Your Exit Before You Buy</w:t>
      </w:r>
    </w:p>
    <w:p>
      <w:pPr>
        <w:spacing w:after="160"/>
      </w:pPr>
      <w:r>
        <w:t xml:space="preserve">A hold strategy decided after closing is really no strategy at all. We build a multi-year plan with you before you sign, so every decision afterward — pricing, refinancing, renovating — supports where you're actually headed.</w:t>
      </w:r>
    </w:p>
    <w:p>
      <w:pPr>
        <w:spacing w:after="240" w:before="120"/>
        <w:jc w:val="center"/>
      </w:pPr>
      <w:r>
        <w:drawing>
          <wp:inline distT="0" distB="0" distL="0" distR="0">
            <wp:extent cx="5334000" cy="1352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Cash-flow hold: optimized for steady distributions — prioritize occupancy and expense discipline over aggressive ADR growth.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Appreciation/value-add hold: targeted renovation or repositioning (e.g., adding a bedroom or amenity) to increase both NOI and resale value.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Refinance-to-scale: use stabilized cash flow and appraised value after Year 1–2 to pull equity for the next acquisition.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1031 exchange / planned exit: structure the eventual sale and timing to defer or manage capital gains as part of a multi-property strategy.</w:t>
      </w:r>
    </w:p>
    <w:p>
      <w:pPr>
        <w:pStyle w:val="Heading1"/>
      </w:pPr>
      <w:r>
        <w:t xml:space="preserve">6. Time &amp; Effort: Doing It Yourself vs. Our Service</w:t>
      </w:r>
    </w:p>
    <w:p>
      <w:pPr>
        <w:spacing w:after="160"/>
      </w:pPr>
      <w:r>
        <w:t xml:space="preserve">Evaluating a single STR investment properly — market research, comp pulls, a real underwriting model, inspection review, and a long-term plan — is a significant time investment if you do it yourself, especially the first time through.</w:t>
      </w:r>
    </w:p>
    <w:p>
      <w:pPr>
        <w:spacing w:after="240" w:before="120"/>
        <w:jc w:val="center"/>
      </w:pPr>
      <w:r>
        <w:drawing>
          <wp:inline distT="0" distB="0" distL="0" distR="0">
            <wp:extent cx="4000500" cy="2590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Task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If You Do It Yourself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With Our Service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Market screening &amp; comp pull (per target market)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8–12 hrs research across AirDNA/PriceLabs and local data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~30 min review call — we deliver the analysis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Cash flow underwriting model (per property)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3–5 hrs, plus a learning curve if you haven't built one before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0 hrs — we deliver the completed model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Property tours &amp; agent coordination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2–4 hrs per property, plus scheduling back-and-forth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~1 hr — just the tour itself; we handle scheduling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Inspection review &amp; renovation cost translation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3–6 hrs, plus your own contractor calls for quotes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~30 min walkthrough review with us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Long-term hold / exit plan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4–8 hrs of research and scenario planning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~30 min planning session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Financing coordination &amp; paperwork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5–10 hrs (see our Mortgage Playbook)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sz w:val="16"/>
                <w:szCs w:val="16"/>
              </w:rPr>
              <w:t xml:space="preserve">~1 hr — e-signatures and approvals only</w:t>
            </w:r>
          </w:p>
        </w:tc>
      </w:tr>
    </w:tbl>
    <w:p>
      <w:pPr>
        <w:pBdr>
          <w:left w:val="single" w:color="2E75B6" w:sz="28" w:space="8"/>
        </w:pBdr>
        <w:shd w:fill="EAF1F8" w:val="clear"/>
        <w:spacing w:after="220" w:before="140"/>
      </w:pPr>
      <w:r>
        <w:rPr>
          <w:b/>
          <w:bCs/>
          <w:color w:val="1F3864"/>
        </w:rPr>
        <w:t xml:space="preserve">Bottom line:  </w:t>
      </w:r>
      <w:r>
        <w:t xml:space="preserve">Fully evaluating one property yourself realistically takes 25–35 hours, spread across research, modeling, touring, and planning. With our service, that drops to roughly 2–3 hours of your time — mostly approvals and a tour.</w:t>
      </w:r>
    </w:p>
    <w:p>
      <w:pPr>
        <w:pStyle w:val="Heading1"/>
      </w:pPr>
      <w:r>
        <w:t xml:space="preserve">7. What We Handle vs. What We Need From You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We handle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We need from you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Market screening &amp; comp pull (AirDNA/PriceLabs)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Target markets, budget range, and risk tolerance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Full cash flow underwriting model per property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Your financing terms (or let us coordinate financing too)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Inspection report review &amp; renovation cost estimates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Access for inspection scheduling &amp; your go/no-go decision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Long-term hold/exit plan tailored to your goals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Your timeline — cash flow now vs. appreciation later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Ongoing performance check-ins post-launch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B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t xml:space="preserve">Periodic review of whether the plan still fits your goals</w:t>
            </w:r>
          </w:p>
        </w:tc>
      </w:tr>
    </w:tbl>
    <w:p>
      <w:pPr>
        <w:pStyle w:val="Heading1"/>
      </w:pPr>
      <w:r>
        <w:t xml:space="preserve">8. Common Pitfalls We See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Underwriting off the listing agent's revenue projection instead of independent STR comp data.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Ignoring break-even occupancy — a property that only works at 75%+ occupancy has very little margin for a slow season or a regulatory change.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Skipping a long-term plan — leads to reactive decisions (panic-selling in a slow month, over-renovating without a resale thesis).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Treating the inspection as a formality rather than a renovation-budget tool — every finding should translate into a number, not just a checkbox.</w:t>
      </w:r>
    </w:p>
    <w:p>
      <w:pPr>
        <w:pStyle w:val="Heading1"/>
      </w:pPr>
      <w:r>
        <w:t xml:space="preserve">9. Quick-Reference Checklist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Confirm the market on regulatory stability, seasonality, and supply growth — not just current STR income.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Underwrite cash flow from independent comp data, not the listing's projection.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Calculate cash-on-cash return, cap rate, DSCR, and break-even occupancy before making an offer.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Review the inspection with an STR lens — roof, HVAC, electrical, plumbing, structural, pest.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Decide your long-term plan (cash flow, value-add, refinance-to-scale, or planned exit) before closing.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Revisit the plan annually — markets, regulations, and your goals can all shift.</w:t>
      </w:r>
    </w:p>
    <w:p>
      <w:pPr>
        <w:pStyle w:val="ListParagraph"/>
        <w:numPr>
          <w:ilvl w:val="0"/>
          <w:numId w:val="3"/>
        </w:numPr>
        <w:spacing w:after="90"/>
      </w:pPr>
      <w:r>
        <w:t xml:space="preserve">Review the time comparison if deciding how hands-on to be in the process.</w:t>
      </w:r>
    </w:p>
    <w:p>
      <w:pPr>
        <w:spacing w:before="360"/>
      </w:pPr>
      <w:r>
        <w:rPr>
          <w:i/>
          <w:iCs/>
          <w:color w:val="595959"/>
          <w:sz w:val="18"/>
          <w:szCs w:val="18"/>
        </w:rPr>
        <w:t xml:space="preserve">This guide is for general education and is not financial, investment, tax, or legal advice. Market conditions, regulations, and financing terms change — always verify current data and consult appropriate professionals before purchasing. Talk to us directly for guidance specific to your situation.</w:t>
      </w:r>
    </w:p>
    <w:sectPr>
      <w:headerReference w:type="default" r:id="rId7"/>
      <w:footerReference w:type="default" r:id="rId8"/>
      <w:pgSz w:w="12240" w:h="15840" w:orient="portrait"/>
      <w:pgMar w:top="1350" w:right="1350" w:bottom="13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color w:val="595959"/>
        <w:sz w:val="16"/>
        <w:szCs w:val="16"/>
      </w:rPr>
      <w:t xml:space="preserve">STR Acquisition Advisory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720" w:hanging="360"/>
      </w:pPr>
      <w:rPr>
        <w:b/>
        <w:bCs/>
        <w:color w:val="4CAF5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8" w:space="4"/>
      </w:pBdr>
      <w:spacing w:after="200" w:before="42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4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130d0e3f4472a1f447ca6ab181dfb0fea4bde29.png"/><Relationship Id="rId10" Type="http://schemas.openxmlformats.org/officeDocument/2006/relationships/image" Target="media/1201a39e1bdc21e22b5b1d6cc954bfb6fc4c73a7.png"/><Relationship Id="rId11" Type="http://schemas.openxmlformats.org/officeDocument/2006/relationships/image" Target="media/9038488b16d7d6587c658dac42eab160c7d0532a.png"/><Relationship Id="rId12" Type="http://schemas.openxmlformats.org/officeDocument/2006/relationships/image" Target="media/9bb766f07fb47bdf407068465c3a9d0b65ba5708.png"/><Relationship Id="rId13" Type="http://schemas.openxmlformats.org/officeDocument/2006/relationships/image" Target="media/2ba3c5a8e8ee3df1fa3296fe5fbdce4823c31bd8.png"/><Relationship Id="rId14" Type="http://schemas.openxmlformats.org/officeDocument/2006/relationships/image" Target="media/8e491aeaf830da1884bc47f2994fe5383e8dbff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2026-06-21T15:15:14.354Z</dcterms:created>
  <dcterms:modified xsi:type="dcterms:W3CDTF">2026-06-21T15:15:14.354Z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